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bookmarkStart w:colFirst="0" w:colLast="0" w:name="_heading=h.qugt2bcyaw1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English Writing Genre Map – Year 5 2024-2025</w:t>
      </w:r>
    </w:p>
    <w:tbl>
      <w:tblPr>
        <w:tblStyle w:val="Table1"/>
        <w:tblW w:w="1394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5"/>
        <w:gridCol w:w="2127"/>
        <w:gridCol w:w="2240"/>
        <w:gridCol w:w="2184"/>
        <w:gridCol w:w="2175"/>
        <w:gridCol w:w="8"/>
        <w:gridCol w:w="7"/>
        <w:gridCol w:w="2177"/>
        <w:gridCol w:w="6"/>
        <w:gridCol w:w="2178"/>
        <w:tblGridChange w:id="0">
          <w:tblGrid>
            <w:gridCol w:w="845"/>
            <w:gridCol w:w="2127"/>
            <w:gridCol w:w="2240"/>
            <w:gridCol w:w="2184"/>
            <w:gridCol w:w="2175"/>
            <w:gridCol w:w="8"/>
            <w:gridCol w:w="7"/>
            <w:gridCol w:w="2177"/>
            <w:gridCol w:w="6"/>
            <w:gridCol w:w="2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Y5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6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Writing Units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</w:tr>
      <w:tr>
        <w:trPr>
          <w:cantSplit w:val="0"/>
          <w:trHeight w:val="17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Descriptive narrative based on Harry Potter</w:t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Floodland (fiction)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Writing in character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Film Narrative 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(The Piano)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Writing a narrative which includes a flashback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The Midnight Fox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Persuasive letter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Writing in character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Narrative Poetry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i w:val="1"/>
                <w:color w:val="ffc000"/>
              </w:rPr>
            </w:pPr>
            <w:r w:rsidDel="00000000" w:rsidR="00000000" w:rsidRPr="00000000">
              <w:rPr>
                <w:i w:val="1"/>
                <w:color w:val="ffc000"/>
                <w:rtl w:val="0"/>
              </w:rPr>
              <w:t xml:space="preserve">The Highwayman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i w:val="1"/>
                <w:color w:val="ffc000"/>
              </w:rPr>
            </w:pPr>
            <w:r w:rsidDel="00000000" w:rsidR="00000000" w:rsidRPr="00000000">
              <w:rPr>
                <w:i w:val="1"/>
                <w:color w:val="ffc000"/>
                <w:rtl w:val="0"/>
              </w:rPr>
              <w:t xml:space="preserve">Description using imagery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00b050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Tom’s Midnight Garden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Diary entry based on Grace Darling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i w:val="1"/>
                <w:color w:val="4472c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i w:val="1"/>
                <w:color w:val="4472c4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Global Warming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 Non Chronological report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Persuasive leaflets Space 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b w:val="1"/>
                <w:color w:val="4472c4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i w:val="1"/>
                <w:color w:val="4472c4"/>
                <w:u w:val="single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Report – Litter in our Oceans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i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u w:val="single"/>
                <w:rtl w:val="0"/>
              </w:rPr>
              <w:t xml:space="preserve">Non-Fiction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i w:val="1"/>
                <w:color w:val="4472c4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Year 5 Camp Recount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i w:val="1"/>
                <w:color w:val="ffc000"/>
              </w:rPr>
            </w:pPr>
            <w:r w:rsidDel="00000000" w:rsidR="00000000" w:rsidRPr="00000000">
              <w:rPr>
                <w:i w:val="1"/>
                <w:color w:val="ffc000"/>
                <w:rtl w:val="0"/>
              </w:rPr>
              <w:t xml:space="preserve">Performance poetry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Embarked- Show not Tell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color w:val="4472c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i w:val="1"/>
                <w:color w:val="4472c4"/>
              </w:rPr>
            </w:pPr>
            <w:r w:rsidDel="00000000" w:rsidR="00000000" w:rsidRPr="00000000">
              <w:rPr>
                <w:b w:val="1"/>
                <w:color w:val="4472c4"/>
                <w:u w:val="single"/>
                <w:rtl w:val="0"/>
              </w:rPr>
              <w:t xml:space="preserve">Non-Fiction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color w:val="ffc000"/>
                <w:u w:val="single"/>
              </w:rPr>
            </w:pPr>
            <w:r w:rsidDel="00000000" w:rsidR="00000000" w:rsidRPr="00000000">
              <w:rPr>
                <w:i w:val="1"/>
                <w:color w:val="4472c4"/>
                <w:rtl w:val="0"/>
              </w:rPr>
              <w:t xml:space="preserve">Year 5 Highlights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Punctuation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Terminology</w:t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Converting </w:t>
            </w:r>
            <w:r w:rsidDel="00000000" w:rsidR="00000000" w:rsidRPr="00000000">
              <w:rPr>
                <w:b w:val="1"/>
                <w:rtl w:val="0"/>
              </w:rPr>
              <w:t xml:space="preserve">nouns </w:t>
            </w:r>
            <w:r w:rsidDel="00000000" w:rsidR="00000000" w:rsidRPr="00000000">
              <w:rPr>
                <w:rtl w:val="0"/>
              </w:rPr>
              <w:t xml:space="preserve">or </w:t>
            </w:r>
            <w:r w:rsidDel="00000000" w:rsidR="00000000" w:rsidRPr="00000000">
              <w:rPr>
                <w:b w:val="1"/>
                <w:rtl w:val="0"/>
              </w:rPr>
              <w:t xml:space="preserve">adjectives</w:t>
            </w:r>
            <w:r w:rsidDel="00000000" w:rsidR="00000000" w:rsidRPr="00000000">
              <w:rPr>
                <w:rtl w:val="0"/>
              </w:rPr>
              <w:t xml:space="preserve"> into </w:t>
            </w:r>
            <w:r w:rsidDel="00000000" w:rsidR="00000000" w:rsidRPr="00000000">
              <w:rPr>
                <w:b w:val="1"/>
                <w:rtl w:val="0"/>
              </w:rPr>
              <w:t xml:space="preserve">verbs</w:t>
            </w:r>
            <w:r w:rsidDel="00000000" w:rsidR="00000000" w:rsidRPr="00000000">
              <w:rPr>
                <w:rtl w:val="0"/>
              </w:rPr>
              <w:t xml:space="preserve"> using </w:t>
            </w:r>
            <w:r w:rsidDel="00000000" w:rsidR="00000000" w:rsidRPr="00000000">
              <w:rPr>
                <w:b w:val="1"/>
                <w:rtl w:val="0"/>
              </w:rPr>
              <w:t xml:space="preserve">suffixes</w:t>
            </w:r>
            <w:r w:rsidDel="00000000" w:rsidR="00000000" w:rsidRPr="00000000">
              <w:rPr>
                <w:rtl w:val="0"/>
              </w:rPr>
              <w:t xml:space="preserve"> (eg. –</w:t>
            </w:r>
            <w:r w:rsidDel="00000000" w:rsidR="00000000" w:rsidRPr="00000000">
              <w:rPr>
                <w:i w:val="1"/>
                <w:rtl w:val="0"/>
              </w:rPr>
              <w:t xml:space="preserve">ate; -ise; -ify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Verb prefixes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dis-, de-, mis-, over- </w:t>
            </w:r>
            <w:r w:rsidDel="00000000" w:rsidR="00000000" w:rsidRPr="00000000">
              <w:rPr>
                <w:rtl w:val="0"/>
              </w:rPr>
              <w:t xml:space="preserve">and</w:t>
            </w:r>
            <w:r w:rsidDel="00000000" w:rsidR="00000000" w:rsidRPr="00000000">
              <w:rPr>
                <w:i w:val="1"/>
                <w:rtl w:val="0"/>
              </w:rPr>
              <w:t xml:space="preserve"> re-)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Relative clauses</w:t>
            </w:r>
            <w:r w:rsidDel="00000000" w:rsidR="00000000" w:rsidRPr="00000000">
              <w:rPr>
                <w:rtl w:val="0"/>
              </w:rPr>
              <w:t xml:space="preserve"> beginning with </w:t>
            </w:r>
            <w:r w:rsidDel="00000000" w:rsidR="00000000" w:rsidRPr="00000000">
              <w:rPr>
                <w:i w:val="1"/>
                <w:rtl w:val="0"/>
              </w:rPr>
              <w:t xml:space="preserve">who, which, where, when, whose, that</w:t>
            </w:r>
            <w:r w:rsidDel="00000000" w:rsidR="00000000" w:rsidRPr="00000000">
              <w:rPr>
                <w:rtl w:val="0"/>
              </w:rPr>
              <w:t xml:space="preserve">, or an omitted relative pronoun.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Indicating degrees of possibility using </w:t>
            </w:r>
            <w:r w:rsidDel="00000000" w:rsidR="00000000" w:rsidRPr="00000000">
              <w:rPr>
                <w:b w:val="1"/>
                <w:rtl w:val="0"/>
              </w:rPr>
              <w:t xml:space="preserve">adverbs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perhaps, surely</w:t>
            </w:r>
            <w:r w:rsidDel="00000000" w:rsidR="00000000" w:rsidRPr="00000000">
              <w:rPr>
                <w:rtl w:val="0"/>
              </w:rPr>
              <w:t xml:space="preserve">) or </w:t>
            </w:r>
            <w:r w:rsidDel="00000000" w:rsidR="00000000" w:rsidRPr="00000000">
              <w:rPr>
                <w:b w:val="1"/>
                <w:rtl w:val="0"/>
              </w:rPr>
              <w:t xml:space="preserve">modal verbs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might, should, will, must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Devices to build </w:t>
            </w:r>
            <w:r w:rsidDel="00000000" w:rsidR="00000000" w:rsidRPr="00000000">
              <w:rPr>
                <w:b w:val="1"/>
                <w:rtl w:val="0"/>
              </w:rPr>
              <w:t xml:space="preserve">cohesion</w:t>
            </w:r>
            <w:r w:rsidDel="00000000" w:rsidR="00000000" w:rsidRPr="00000000">
              <w:rPr>
                <w:rtl w:val="0"/>
              </w:rPr>
              <w:t xml:space="preserve"> within a paragraph (eg. </w:t>
            </w:r>
            <w:r w:rsidDel="00000000" w:rsidR="00000000" w:rsidRPr="00000000">
              <w:rPr>
                <w:i w:val="1"/>
                <w:rtl w:val="0"/>
              </w:rPr>
              <w:t xml:space="preserve">then, after that, this, firstly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6C">
            <w:pPr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Linking ideas across paragraphs using </w:t>
            </w:r>
            <w:r w:rsidDel="00000000" w:rsidR="00000000" w:rsidRPr="00000000">
              <w:rPr>
                <w:b w:val="1"/>
                <w:rtl w:val="0"/>
              </w:rPr>
              <w:t xml:space="preserve">adverbials</w:t>
            </w:r>
            <w:r w:rsidDel="00000000" w:rsidR="00000000" w:rsidRPr="00000000">
              <w:rPr>
                <w:rtl w:val="0"/>
              </w:rPr>
              <w:t xml:space="preserve"> of </w:t>
            </w:r>
            <w:r w:rsidDel="00000000" w:rsidR="00000000" w:rsidRPr="00000000">
              <w:rPr>
                <w:b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later</w:t>
            </w:r>
            <w:r w:rsidDel="00000000" w:rsidR="00000000" w:rsidRPr="00000000">
              <w:rPr>
                <w:rtl w:val="0"/>
              </w:rPr>
              <w:t xml:space="preserve">), </w:t>
            </w:r>
            <w:r w:rsidDel="00000000" w:rsidR="00000000" w:rsidRPr="00000000">
              <w:rPr>
                <w:b w:val="1"/>
                <w:rtl w:val="0"/>
              </w:rPr>
              <w:t xml:space="preserve">place </w:t>
            </w:r>
            <w:r w:rsidDel="00000000" w:rsidR="00000000" w:rsidRPr="00000000">
              <w:rPr>
                <w:rtl w:val="0"/>
              </w:rPr>
              <w:t xml:space="preserve">(eg. </w:t>
            </w:r>
            <w:r w:rsidDel="00000000" w:rsidR="00000000" w:rsidRPr="00000000">
              <w:rPr>
                <w:i w:val="1"/>
                <w:rtl w:val="0"/>
              </w:rPr>
              <w:t xml:space="preserve">nearby</w:t>
            </w:r>
            <w:r w:rsidDel="00000000" w:rsidR="00000000" w:rsidRPr="00000000">
              <w:rPr>
                <w:rtl w:val="0"/>
              </w:rPr>
              <w:t xml:space="preserve">) and </w:t>
            </w:r>
            <w:r w:rsidDel="00000000" w:rsidR="00000000" w:rsidRPr="00000000">
              <w:rPr>
                <w:b w:val="1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  <w:t xml:space="preserve"> (eg. </w:t>
            </w:r>
            <w:r w:rsidDel="00000000" w:rsidR="00000000" w:rsidRPr="00000000">
              <w:rPr>
                <w:i w:val="1"/>
                <w:rtl w:val="0"/>
              </w:rPr>
              <w:t xml:space="preserve">secondly</w:t>
            </w:r>
            <w:r w:rsidDel="00000000" w:rsidR="00000000" w:rsidRPr="00000000">
              <w:rPr>
                <w:rtl w:val="0"/>
              </w:rPr>
              <w:t xml:space="preserve">) or</w:t>
            </w:r>
            <w:r w:rsidDel="00000000" w:rsidR="00000000" w:rsidRPr="00000000">
              <w:rPr>
                <w:b w:val="1"/>
                <w:rtl w:val="0"/>
              </w:rPr>
              <w:t xml:space="preserve"> tense choices </w:t>
            </w:r>
            <w:r w:rsidDel="00000000" w:rsidR="00000000" w:rsidRPr="00000000">
              <w:rPr>
                <w:rtl w:val="0"/>
              </w:rPr>
              <w:t xml:space="preserve">(eg. he </w:t>
            </w:r>
            <w:r w:rsidDel="00000000" w:rsidR="00000000" w:rsidRPr="00000000">
              <w:rPr>
                <w:i w:val="1"/>
                <w:rtl w:val="0"/>
              </w:rPr>
              <w:t xml:space="preserve">had</w:t>
            </w:r>
            <w:r w:rsidDel="00000000" w:rsidR="00000000" w:rsidRPr="00000000">
              <w:rPr>
                <w:rtl w:val="0"/>
              </w:rPr>
              <w:t xml:space="preserve"> seen her before)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Brackets, dashes or commas to indicate parenthesis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Use of commas to clarify meaning or avoid ambiguity</w:t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Modal verb, relative pronoun,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relative clause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parenthesis, bracket, dash, cohesion, ambiguity</w:t>
            </w:r>
          </w:p>
        </w:tc>
      </w:tr>
    </w:tbl>
    <w:p w:rsidR="00000000" w:rsidDel="00000000" w:rsidP="00000000" w:rsidRDefault="00000000" w:rsidRPr="00000000" w14:paraId="00000076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991B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254E1"/>
    <w:pPr>
      <w:ind w:left="720"/>
      <w:contextualSpacing w:val="1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VpTb3ae+3ctgE3ilqIWaDyWVXg==">CgMxLjAyDWgucXVndDJiY3lhdzEyCGguZ2pkZ3hzOAByITFoU044SmNfbWJGVVpRbUloVTA3RFZBS0tKM3ZjLUxOSg==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2024-09-10T11:00:00Z</dcterms:created>
  <dc:creator>Valerie Downes</dc:creator>
</cp:coreProperties>
</file>