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bookmarkStart w:colFirst="0" w:colLast="0" w:name="_heading=h.qcamgnflcgxe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English Writing Genre Map – Year 2 2025-2026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183"/>
        <w:gridCol w:w="1342"/>
        <w:gridCol w:w="842"/>
        <w:gridCol w:w="2184"/>
        <w:gridCol w:w="2183"/>
        <w:gridCol w:w="2184"/>
        <w:gridCol w:w="6"/>
        <w:gridCol w:w="2178"/>
        <w:tblGridChange w:id="0">
          <w:tblGrid>
            <w:gridCol w:w="846"/>
            <w:gridCol w:w="2183"/>
            <w:gridCol w:w="1342"/>
            <w:gridCol w:w="842"/>
            <w:gridCol w:w="2184"/>
            <w:gridCol w:w="2183"/>
            <w:gridCol w:w="2184"/>
            <w:gridCol w:w="6"/>
            <w:gridCol w:w="2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Y2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3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4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6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Writing Units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</w:tr>
      <w:tr>
        <w:trPr>
          <w:cantSplit w:val="0"/>
          <w:trHeight w:val="11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b05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20"/>
                <w:szCs w:val="20"/>
                <w:u w:val="single"/>
                <w:rtl w:val="0"/>
              </w:rPr>
              <w:t xml:space="preserve">Power of Reading 1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i w:val="1"/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The Storm Whale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u w:val="single"/>
                <w:rtl w:val="0"/>
              </w:rPr>
              <w:t xml:space="preserve">Fiction Unit 1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Stories by the same author (Julia Donaldson)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70c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70c0"/>
                <w:sz w:val="20"/>
                <w:szCs w:val="20"/>
                <w:u w:val="single"/>
                <w:rtl w:val="0"/>
              </w:rPr>
              <w:t xml:space="preserve">Non-Fiction 2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Explanation text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How to catch a star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00b05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20"/>
                <w:szCs w:val="20"/>
                <w:u w:val="single"/>
                <w:rtl w:val="0"/>
              </w:rPr>
              <w:t xml:space="preserve">Power of Reading 2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i w:val="1"/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The Man on the Moon</w:t>
            </w:r>
            <w:r w:rsidDel="00000000" w:rsidR="00000000" w:rsidRPr="00000000">
              <w:rPr>
                <w:b w:val="1"/>
                <w:color w:val="4472c4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color w:val="00b05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b050"/>
                <w:sz w:val="20"/>
                <w:szCs w:val="20"/>
                <w:u w:val="single"/>
                <w:rtl w:val="0"/>
              </w:rPr>
              <w:t xml:space="preserve">Power of Reading 3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i w:val="1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b050"/>
                <w:sz w:val="20"/>
                <w:szCs w:val="20"/>
                <w:rtl w:val="0"/>
              </w:rPr>
              <w:t xml:space="preserve">Egg Box Dragon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00b05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sz w:val="20"/>
                <w:szCs w:val="20"/>
                <w:u w:val="single"/>
                <w:rtl w:val="0"/>
              </w:rPr>
              <w:t xml:space="preserve">Power of Reading 4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color w:val="00b050"/>
                <w:sz w:val="20"/>
                <w:szCs w:val="20"/>
                <w:rtl w:val="0"/>
              </w:rPr>
              <w:t xml:space="preserve">Traction Man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i w:val="1"/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ffc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</w:tc>
      </w:tr>
      <w:tr>
        <w:trPr>
          <w:cantSplit w:val="0"/>
          <w:trHeight w:val="18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4472c4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sz w:val="20"/>
                <w:szCs w:val="20"/>
                <w:u w:val="single"/>
                <w:rtl w:val="0"/>
              </w:rPr>
              <w:t xml:space="preserve">Non-Fiction 1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Non-chronological reports</w:t>
            </w:r>
            <w:r w:rsidDel="00000000" w:rsidR="00000000" w:rsidRPr="00000000">
              <w:rPr>
                <w:i w:val="1"/>
                <w:color w:val="4472c4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(Habitats –topic link)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ffff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ffff00"/>
                <w:sz w:val="20"/>
                <w:szCs w:val="20"/>
                <w:u w:val="single"/>
                <w:rtl w:val="0"/>
              </w:rPr>
              <w:t xml:space="preserve">Poetry 1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ffff00"/>
                <w:sz w:val="20"/>
                <w:szCs w:val="20"/>
              </w:rPr>
            </w:pPr>
            <w:r w:rsidDel="00000000" w:rsidR="00000000" w:rsidRPr="00000000">
              <w:rPr>
                <w:color w:val="ffff00"/>
                <w:sz w:val="20"/>
                <w:szCs w:val="20"/>
                <w:rtl w:val="0"/>
              </w:rPr>
              <w:t xml:space="preserve">School Poems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color w:val="ffff00"/>
                <w:sz w:val="20"/>
                <w:szCs w:val="20"/>
              </w:rPr>
            </w:pPr>
            <w:r w:rsidDel="00000000" w:rsidR="00000000" w:rsidRPr="00000000">
              <w:rPr>
                <w:color w:val="ffff00"/>
                <w:sz w:val="20"/>
                <w:szCs w:val="20"/>
                <w:rtl w:val="0"/>
              </w:rPr>
              <w:t xml:space="preserve">Please Mrs Butler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u w:val="single"/>
                <w:rtl w:val="0"/>
              </w:rPr>
              <w:t xml:space="preserve">Fiction Unit 2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color w:val="ffff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Edgar the excitable dragon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ffff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ffff00"/>
                <w:sz w:val="20"/>
                <w:szCs w:val="20"/>
                <w:u w:val="single"/>
                <w:rtl w:val="0"/>
              </w:rPr>
              <w:t xml:space="preserve">Poetry 2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color w:val="ffff00"/>
                <w:sz w:val="20"/>
                <w:szCs w:val="20"/>
              </w:rPr>
            </w:pPr>
            <w:r w:rsidDel="00000000" w:rsidR="00000000" w:rsidRPr="00000000">
              <w:rPr>
                <w:color w:val="ffff00"/>
                <w:sz w:val="20"/>
                <w:szCs w:val="20"/>
                <w:rtl w:val="0"/>
              </w:rPr>
              <w:t xml:space="preserve">Shape Poems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4472c4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sz w:val="20"/>
                <w:szCs w:val="20"/>
                <w:u w:val="single"/>
                <w:rtl w:val="0"/>
              </w:rPr>
              <w:t xml:space="preserve">Non-Fiction 3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Newspaper report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(describing our enterprise)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4472c4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sz w:val="20"/>
                <w:szCs w:val="20"/>
                <w:u w:val="single"/>
                <w:rtl w:val="0"/>
              </w:rPr>
              <w:t xml:space="preserve">Non-Fiction 4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Recount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(school trip)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b050"/>
                <w:sz w:val="20"/>
                <w:szCs w:val="20"/>
                <w:rtl w:val="0"/>
              </w:rPr>
              <w:t xml:space="preserve">Continuation of Egg Box Dragon (mixture of fiction and non-fiction writing)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4472c4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sz w:val="20"/>
                <w:szCs w:val="20"/>
                <w:u w:val="single"/>
                <w:rtl w:val="0"/>
              </w:rPr>
              <w:t xml:space="preserve">Non-Fiction 5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color w:val="4472c4"/>
                <w:sz w:val="20"/>
                <w:szCs w:val="20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and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color w:val="0070c0"/>
                <w:sz w:val="20"/>
                <w:szCs w:val="20"/>
                <w:rtl w:val="0"/>
              </w:rPr>
              <w:t xml:space="preserve">recount/transition writing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color w:val="4472c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Sentence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Punctuation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Terminology</w:t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Grammar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Formation of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nouns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suffixes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such as –ness, -er and by compounding 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Formation of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adjectives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suffixes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such as</w:t>
            </w:r>
          </w:p>
          <w:p w:rsidR="00000000" w:rsidDel="00000000" w:rsidP="00000000" w:rsidRDefault="00000000" w:rsidRPr="00000000" w14:paraId="0000005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–ful, -less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the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suffixes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-er, -est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adjectives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the use of –ly to turn adjectives into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adverbs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Subordination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(using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when, if, that, because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and 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co-ordination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(using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or, and, but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Expanded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noun phrases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for description and specification (eg.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blue butterfly, plain flour, the man in the moon)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grammar indicates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statement, question or command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Correct choice and consistent use of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tense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 tense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throughout writing</w:t>
            </w:r>
          </w:p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the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progressive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form of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verbs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in the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past tense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mark actions in progress</w:t>
            </w:r>
          </w:p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(eg.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she is drumming, he was shouting)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capital letters, full stops, question marks and exclamation marks to demarcate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Commas to separate items in a list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Apostrophes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mark where letters are missing in spelling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omission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and to mark singular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possession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 nouns (eg.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girl’s name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Noun, noun phrase,</w:t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statement, question, exclamation, command,</w:t>
            </w:r>
          </w:p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compound, suffix,</w:t>
            </w:r>
          </w:p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adjective, adverb, verb,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tense (past, present),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apostrophe, comma.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91B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44D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vRlOv2+fcuRAS1ocZknmktKmw==">CgMxLjAyDmgucWNhbWduZmxjZ3hlOAByITFxcGNWNnJyYTNLM3RFNkdtbTk2YmhVSHhlNHljZ25EbQ==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2024-09-11T09:49:00Z</dcterms:created>
  <dc:creator>Valerie Downes</dc:creator>
</cp:coreProperties>
</file>