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bookmarkStart w:colFirst="0" w:colLast="0" w:name="_heading=h.tbqzhf4lq11n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English Writing Genre Map – Year 3 2025-2026</w:t>
      </w:r>
    </w:p>
    <w:tbl>
      <w:tblPr>
        <w:tblStyle w:val="Table1"/>
        <w:tblW w:w="1394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183"/>
        <w:gridCol w:w="2184"/>
        <w:gridCol w:w="2184"/>
        <w:gridCol w:w="2183"/>
        <w:gridCol w:w="2184"/>
        <w:gridCol w:w="2184"/>
        <w:tblGridChange w:id="0">
          <w:tblGrid>
            <w:gridCol w:w="846"/>
            <w:gridCol w:w="2183"/>
            <w:gridCol w:w="2184"/>
            <w:gridCol w:w="2184"/>
            <w:gridCol w:w="2183"/>
            <w:gridCol w:w="2184"/>
            <w:gridCol w:w="21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Y3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1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2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3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4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5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6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ind w:left="113" w:right="113" w:firstLine="0"/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Writing Units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i w:val="1"/>
                <w:color w:val="00b050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The Tin Forest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5b9bd5"/>
                <w:u w:val="single"/>
              </w:rPr>
            </w:pPr>
            <w:r w:rsidDel="00000000" w:rsidR="00000000" w:rsidRPr="00000000">
              <w:rPr>
                <w:b w:val="1"/>
                <w:color w:val="5b9bd5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i w:val="1"/>
                <w:color w:val="5b9bd5"/>
                <w:rtl w:val="0"/>
              </w:rPr>
              <w:t xml:space="preserve">Instructions</w:t>
            </w: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i w:val="1"/>
                <w:color w:val="00b050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Moon man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5b9bd5"/>
                <w:u w:val="single"/>
              </w:rPr>
            </w:pPr>
            <w:r w:rsidDel="00000000" w:rsidR="00000000" w:rsidRPr="00000000">
              <w:rPr>
                <w:b w:val="1"/>
                <w:color w:val="5b9bd5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i w:val="1"/>
                <w:color w:val="5b9bd5"/>
              </w:rPr>
            </w:pPr>
            <w:r w:rsidDel="00000000" w:rsidR="00000000" w:rsidRPr="00000000">
              <w:rPr>
                <w:i w:val="1"/>
                <w:color w:val="5b9bd5"/>
                <w:rtl w:val="0"/>
              </w:rPr>
              <w:t xml:space="preserve">Roman facts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color w:val="5b9bd5"/>
                <w:u w:val="single"/>
              </w:rPr>
            </w:pPr>
            <w:r w:rsidDel="00000000" w:rsidR="00000000" w:rsidRPr="00000000">
              <w:rPr>
                <w:b w:val="1"/>
                <w:color w:val="5b9bd5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5b9bd5"/>
                <w:rtl w:val="0"/>
              </w:rPr>
              <w:t xml:space="preserve">Recount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Fiction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Stories with familiar settings- Soar (Literacy Shed)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</w:tr>
      <w:tr>
        <w:trPr>
          <w:cantSplit w:val="0"/>
          <w:trHeight w:val="9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color w:val="ffc000"/>
                <w:u w:val="single"/>
              </w:rPr>
            </w:pPr>
            <w:r w:rsidDel="00000000" w:rsidR="00000000" w:rsidRPr="00000000">
              <w:rPr>
                <w:b w:val="1"/>
                <w:color w:val="ffc000"/>
                <w:u w:val="single"/>
                <w:rtl w:val="0"/>
              </w:rPr>
              <w:t xml:space="preserve">Poetry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color w:val="ffc000"/>
                <w:rtl w:val="0"/>
              </w:rPr>
              <w:t xml:space="preserve">Nonsense poetry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Fiction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Myths and Legends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Moon man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Fiction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Fantasy Stories(Narnia)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i w:val="1"/>
                <w:color w:val="00b050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The Little Island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i w:val="1"/>
                <w:color w:val="00b050"/>
              </w:rPr>
            </w:pPr>
            <w:r w:rsidDel="00000000" w:rsidR="00000000" w:rsidRPr="00000000">
              <w:rPr>
                <w:b w:val="1"/>
                <w:color w:val="ffc000"/>
                <w:u w:val="single"/>
                <w:rtl w:val="0"/>
              </w:rPr>
              <w:t xml:space="preserve">Poetry/</w:t>
            </w: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PoR</w:t>
            </w:r>
            <w:r w:rsidDel="00000000" w:rsidR="00000000" w:rsidRPr="00000000">
              <w:rPr>
                <w:i w:val="1"/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Hot like fire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Sentence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Text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Punctuation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Terminology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ind w:left="113" w:right="113" w:firstLine="0"/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Formation of </w:t>
            </w:r>
            <w:r w:rsidDel="00000000" w:rsidR="00000000" w:rsidRPr="00000000">
              <w:rPr>
                <w:b w:val="1"/>
                <w:rtl w:val="0"/>
              </w:rPr>
              <w:t xml:space="preserve">nouns </w:t>
            </w:r>
            <w:r w:rsidDel="00000000" w:rsidR="00000000" w:rsidRPr="00000000">
              <w:rPr>
                <w:rtl w:val="0"/>
              </w:rPr>
              <w:t xml:space="preserve">using a range of </w:t>
            </w:r>
            <w:r w:rsidDel="00000000" w:rsidR="00000000" w:rsidRPr="00000000">
              <w:rPr>
                <w:b w:val="1"/>
                <w:rtl w:val="0"/>
              </w:rPr>
              <w:t xml:space="preserve">prefixes</w:t>
            </w:r>
            <w:r w:rsidDel="00000000" w:rsidR="00000000" w:rsidRPr="00000000">
              <w:rPr>
                <w:rtl w:val="0"/>
              </w:rPr>
              <w:t xml:space="preserve"> (eg. </w:t>
            </w:r>
            <w:r w:rsidDel="00000000" w:rsidR="00000000" w:rsidRPr="00000000">
              <w:rPr>
                <w:i w:val="1"/>
                <w:rtl w:val="0"/>
              </w:rPr>
              <w:t xml:space="preserve">super-, anti-, auto -)</w:t>
            </w:r>
          </w:p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Using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an </w:t>
            </w:r>
            <w:r w:rsidDel="00000000" w:rsidR="00000000" w:rsidRPr="00000000">
              <w:rPr>
                <w:rtl w:val="0"/>
              </w:rPr>
              <w:t xml:space="preserve">correctly according to whether the next </w:t>
            </w:r>
            <w:r w:rsidDel="00000000" w:rsidR="00000000" w:rsidRPr="00000000">
              <w:rPr>
                <w:b w:val="1"/>
                <w:rtl w:val="0"/>
              </w:rPr>
              <w:t xml:space="preserve">word</w:t>
            </w:r>
            <w:r w:rsidDel="00000000" w:rsidR="00000000" w:rsidRPr="00000000">
              <w:rPr>
                <w:rtl w:val="0"/>
              </w:rPr>
              <w:t xml:space="preserve"> begins with a </w:t>
            </w:r>
            <w:r w:rsidDel="00000000" w:rsidR="00000000" w:rsidRPr="00000000">
              <w:rPr>
                <w:b w:val="1"/>
                <w:rtl w:val="0"/>
              </w:rPr>
              <w:t xml:space="preserve">consonant</w:t>
            </w:r>
            <w:r w:rsidDel="00000000" w:rsidR="00000000" w:rsidRPr="00000000">
              <w:rPr>
                <w:rtl w:val="0"/>
              </w:rPr>
              <w:t xml:space="preserve"> or a </w:t>
            </w:r>
            <w:r w:rsidDel="00000000" w:rsidR="00000000" w:rsidRPr="00000000">
              <w:rPr>
                <w:b w:val="1"/>
                <w:rtl w:val="0"/>
              </w:rPr>
              <w:t xml:space="preserve">vowel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Word families </w:t>
            </w:r>
            <w:r w:rsidDel="00000000" w:rsidR="00000000" w:rsidRPr="00000000">
              <w:rPr>
                <w:rtl w:val="0"/>
              </w:rPr>
              <w:t xml:space="preserve">based on common </w:t>
            </w:r>
            <w:r w:rsidDel="00000000" w:rsidR="00000000" w:rsidRPr="00000000">
              <w:rPr>
                <w:b w:val="1"/>
                <w:rtl w:val="0"/>
              </w:rPr>
              <w:t xml:space="preserve">words</w:t>
            </w:r>
            <w:r w:rsidDel="00000000" w:rsidR="00000000" w:rsidRPr="00000000">
              <w:rPr>
                <w:rtl w:val="0"/>
              </w:rPr>
              <w:t xml:space="preserve">, showing how words are related in form and meaning (eg</w:t>
            </w:r>
            <w:r w:rsidDel="00000000" w:rsidR="00000000" w:rsidRPr="00000000">
              <w:rPr>
                <w:i w:val="1"/>
                <w:rtl w:val="0"/>
              </w:rPr>
              <w:t xml:space="preserve">. solve, solution, solver, dissolve, insoluble)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Expressing time, place and cause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using</w:t>
            </w:r>
            <w:r w:rsidDel="00000000" w:rsidR="00000000" w:rsidRPr="00000000">
              <w:rPr>
                <w:b w:val="1"/>
                <w:rtl w:val="0"/>
              </w:rPr>
              <w:t xml:space="preserve"> conjunctions</w:t>
            </w:r>
            <w:r w:rsidDel="00000000" w:rsidR="00000000" w:rsidRPr="00000000">
              <w:rPr>
                <w:rtl w:val="0"/>
              </w:rPr>
              <w:t xml:space="preserve"> (eg. </w:t>
            </w:r>
            <w:r w:rsidDel="00000000" w:rsidR="00000000" w:rsidRPr="00000000">
              <w:rPr>
                <w:i w:val="1"/>
                <w:rtl w:val="0"/>
              </w:rPr>
              <w:t xml:space="preserve">when, before, after, while, so, because), </w:t>
            </w:r>
            <w:r w:rsidDel="00000000" w:rsidR="00000000" w:rsidRPr="00000000">
              <w:rPr>
                <w:b w:val="1"/>
                <w:rtl w:val="0"/>
              </w:rPr>
              <w:t xml:space="preserve">adverbs </w:t>
            </w:r>
            <w:r w:rsidDel="00000000" w:rsidR="00000000" w:rsidRPr="00000000">
              <w:rPr>
                <w:rtl w:val="0"/>
              </w:rPr>
              <w:t xml:space="preserve">(eg. </w:t>
            </w:r>
            <w:r w:rsidDel="00000000" w:rsidR="00000000" w:rsidRPr="00000000">
              <w:rPr>
                <w:i w:val="1"/>
                <w:rtl w:val="0"/>
              </w:rPr>
              <w:t xml:space="preserve">then, next, soon, therefore</w:t>
            </w:r>
            <w:r w:rsidDel="00000000" w:rsidR="00000000" w:rsidRPr="00000000">
              <w:rPr>
                <w:rtl w:val="0"/>
              </w:rPr>
              <w:t xml:space="preserve">), or </w:t>
            </w:r>
            <w:r w:rsidDel="00000000" w:rsidR="00000000" w:rsidRPr="00000000">
              <w:rPr>
                <w:b w:val="1"/>
                <w:rtl w:val="0"/>
              </w:rPr>
              <w:t xml:space="preserve">prepositions</w:t>
            </w:r>
            <w:r w:rsidDel="00000000" w:rsidR="00000000" w:rsidRPr="00000000">
              <w:rPr>
                <w:rtl w:val="0"/>
              </w:rPr>
              <w:t xml:space="preserve"> (eg. </w:t>
            </w:r>
            <w:r w:rsidDel="00000000" w:rsidR="00000000" w:rsidRPr="00000000">
              <w:rPr>
                <w:i w:val="1"/>
                <w:rtl w:val="0"/>
              </w:rPr>
              <w:t xml:space="preserve">before, after, during, in, because of)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Introduction to </w:t>
            </w:r>
            <w:r w:rsidDel="00000000" w:rsidR="00000000" w:rsidRPr="00000000">
              <w:rPr>
                <w:b w:val="1"/>
                <w:rtl w:val="0"/>
              </w:rPr>
              <w:t xml:space="preserve">paragraphs</w:t>
            </w:r>
            <w:r w:rsidDel="00000000" w:rsidR="00000000" w:rsidRPr="00000000">
              <w:rPr>
                <w:rtl w:val="0"/>
              </w:rPr>
              <w:t xml:space="preserve"> as a way to group related material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Headings</w:t>
            </w:r>
            <w:r w:rsidDel="00000000" w:rsidR="00000000" w:rsidRPr="00000000">
              <w:rPr>
                <w:rtl w:val="0"/>
              </w:rPr>
              <w:t xml:space="preserve"> and</w:t>
            </w:r>
            <w:r w:rsidDel="00000000" w:rsidR="00000000" w:rsidRPr="00000000">
              <w:rPr>
                <w:b w:val="1"/>
                <w:rtl w:val="0"/>
              </w:rPr>
              <w:t xml:space="preserve"> sub-headings</w:t>
            </w:r>
            <w:r w:rsidDel="00000000" w:rsidR="00000000" w:rsidRPr="00000000">
              <w:rPr>
                <w:rtl w:val="0"/>
              </w:rPr>
              <w:t xml:space="preserve"> to aid presentation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Use of the</w:t>
            </w:r>
            <w:r w:rsidDel="00000000" w:rsidR="00000000" w:rsidRPr="00000000">
              <w:rPr>
                <w:b w:val="1"/>
                <w:rtl w:val="0"/>
              </w:rPr>
              <w:t xml:space="preserve"> present perfect </w:t>
            </w:r>
            <w:r w:rsidDel="00000000" w:rsidR="00000000" w:rsidRPr="00000000">
              <w:rPr>
                <w:rtl w:val="0"/>
              </w:rPr>
              <w:t xml:space="preserve">form of </w:t>
            </w:r>
            <w:r w:rsidDel="00000000" w:rsidR="00000000" w:rsidRPr="00000000">
              <w:rPr>
                <w:b w:val="1"/>
                <w:rtl w:val="0"/>
              </w:rPr>
              <w:t xml:space="preserve">verbs</w:t>
            </w:r>
            <w:r w:rsidDel="00000000" w:rsidR="00000000" w:rsidRPr="00000000">
              <w:rPr>
                <w:rtl w:val="0"/>
              </w:rPr>
              <w:t xml:space="preserve"> instead of the simple past (eg. </w:t>
            </w:r>
            <w:r w:rsidDel="00000000" w:rsidR="00000000" w:rsidRPr="00000000">
              <w:rPr>
                <w:i w:val="1"/>
                <w:rtl w:val="0"/>
              </w:rPr>
              <w:t xml:space="preserve">He has gone out to play </w:t>
            </w:r>
            <w:r w:rsidDel="00000000" w:rsidR="00000000" w:rsidRPr="00000000">
              <w:rPr>
                <w:rtl w:val="0"/>
              </w:rPr>
              <w:t xml:space="preserve">contrasted with </w:t>
            </w:r>
            <w:r w:rsidDel="00000000" w:rsidR="00000000" w:rsidRPr="00000000">
              <w:rPr>
                <w:i w:val="1"/>
                <w:rtl w:val="0"/>
              </w:rPr>
              <w:t xml:space="preserve">He went out to play)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Introduction to </w:t>
            </w:r>
            <w:r w:rsidDel="00000000" w:rsidR="00000000" w:rsidRPr="00000000">
              <w:rPr>
                <w:b w:val="1"/>
                <w:rtl w:val="0"/>
              </w:rPr>
              <w:t xml:space="preserve">inverted commas</w:t>
            </w:r>
            <w:r w:rsidDel="00000000" w:rsidR="00000000" w:rsidRPr="00000000">
              <w:rPr>
                <w:rtl w:val="0"/>
              </w:rPr>
              <w:t xml:space="preserve"> to </w:t>
            </w:r>
            <w:r w:rsidDel="00000000" w:rsidR="00000000" w:rsidRPr="00000000">
              <w:rPr>
                <w:b w:val="1"/>
                <w:rtl w:val="0"/>
              </w:rPr>
              <w:t xml:space="preserve">punctuate direct speech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preposition, conjunction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word family, prefix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clause, subordinate clause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direct speech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consonant, vowel 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inverted commas (or ‘speech marks’)</w:t>
            </w:r>
          </w:p>
        </w:tc>
      </w:tr>
    </w:tbl>
    <w:p w:rsidR="00000000" w:rsidDel="00000000" w:rsidP="00000000" w:rsidRDefault="00000000" w:rsidRPr="00000000" w14:paraId="0000004B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426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A433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91B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2738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3AuVIirUqWjUb1Cj8955L5hMuA==">CgMxLjAyDmgudGJxemhmNGxxMTFuOAByITFjaTkza1I0cUFNV0tlUnNsbXlPOV9KZ0pJRThmRWFzTw==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2024-10-02T12:26:00Z</dcterms:created>
  <dc:creator>Valerie Downes</dc:creator>
</cp:coreProperties>
</file>