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0B66" w:rsidRDefault="0099418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English Writing Genre Map – Year 5</w:t>
      </w:r>
      <w:r w:rsidR="001E535D">
        <w:rPr>
          <w:b/>
          <w:sz w:val="28"/>
          <w:szCs w:val="28"/>
          <w:u w:val="single"/>
        </w:rPr>
        <w:t xml:space="preserve"> 2023-2024</w:t>
      </w:r>
      <w:bookmarkStart w:id="0" w:name="_GoBack"/>
      <w:bookmarkEnd w:id="0"/>
    </w:p>
    <w:tbl>
      <w:tblPr>
        <w:tblStyle w:val="a"/>
        <w:tblW w:w="13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5"/>
        <w:gridCol w:w="2127"/>
        <w:gridCol w:w="2240"/>
        <w:gridCol w:w="2184"/>
        <w:gridCol w:w="2175"/>
        <w:gridCol w:w="8"/>
        <w:gridCol w:w="7"/>
        <w:gridCol w:w="2177"/>
        <w:gridCol w:w="6"/>
        <w:gridCol w:w="2178"/>
      </w:tblGrid>
      <w:tr w:rsidR="00870B66" w:rsidTr="00ED01CE">
        <w:tc>
          <w:tcPr>
            <w:tcW w:w="845" w:type="dxa"/>
          </w:tcPr>
          <w:p w:rsidR="00870B66" w:rsidRDefault="00994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Y5</w:t>
            </w:r>
          </w:p>
        </w:tc>
        <w:tc>
          <w:tcPr>
            <w:tcW w:w="2127" w:type="dxa"/>
          </w:tcPr>
          <w:p w:rsidR="00870B66" w:rsidRDefault="00994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1</w:t>
            </w:r>
          </w:p>
        </w:tc>
        <w:tc>
          <w:tcPr>
            <w:tcW w:w="2240" w:type="dxa"/>
          </w:tcPr>
          <w:p w:rsidR="00870B66" w:rsidRDefault="00994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2</w:t>
            </w:r>
          </w:p>
        </w:tc>
        <w:tc>
          <w:tcPr>
            <w:tcW w:w="2184" w:type="dxa"/>
          </w:tcPr>
          <w:p w:rsidR="00870B66" w:rsidRDefault="00994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3</w:t>
            </w:r>
          </w:p>
        </w:tc>
        <w:tc>
          <w:tcPr>
            <w:tcW w:w="2183" w:type="dxa"/>
            <w:gridSpan w:val="2"/>
          </w:tcPr>
          <w:p w:rsidR="00870B66" w:rsidRDefault="00994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4</w:t>
            </w: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5</w:t>
            </w: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Term 6</w:t>
            </w:r>
          </w:p>
        </w:tc>
      </w:tr>
      <w:tr w:rsidR="00870B66" w:rsidTr="00ED01CE">
        <w:tc>
          <w:tcPr>
            <w:tcW w:w="845" w:type="dxa"/>
            <w:vMerge w:val="restart"/>
            <w:textDirection w:val="btLr"/>
            <w:vAlign w:val="center"/>
          </w:tcPr>
          <w:p w:rsidR="00870B66" w:rsidRDefault="00994185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Writing Units</w:t>
            </w:r>
          </w:p>
        </w:tc>
        <w:tc>
          <w:tcPr>
            <w:tcW w:w="2127" w:type="dxa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240" w:type="dxa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3" w:type="dxa"/>
            <w:gridSpan w:val="2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</w:t>
            </w: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1</w:t>
            </w:r>
          </w:p>
        </w:tc>
      </w:tr>
      <w:tr w:rsidR="00870B66" w:rsidTr="00ED01CE">
        <w:trPr>
          <w:trHeight w:val="1794"/>
        </w:trPr>
        <w:tc>
          <w:tcPr>
            <w:tcW w:w="845" w:type="dxa"/>
            <w:vMerge/>
            <w:vAlign w:val="center"/>
          </w:tcPr>
          <w:p w:rsidR="00870B66" w:rsidRDefault="00870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B66" w:rsidRDefault="00994185">
            <w:pPr>
              <w:jc w:val="center"/>
              <w:rPr>
                <w:i/>
                <w:color w:val="FF0000"/>
              </w:rPr>
            </w:pPr>
            <w:r>
              <w:rPr>
                <w:b/>
                <w:color w:val="FF0000"/>
                <w:u w:val="single"/>
              </w:rPr>
              <w:t>Fiction</w:t>
            </w:r>
          </w:p>
          <w:p w:rsidR="00870B66" w:rsidRDefault="009941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Descriptive narrative based on Harry Potter</w:t>
            </w:r>
          </w:p>
          <w:p w:rsidR="00870B66" w:rsidRDefault="00870B66" w:rsidP="00ED01CE">
            <w:pPr>
              <w:rPr>
                <w:b/>
              </w:rPr>
            </w:pPr>
          </w:p>
        </w:tc>
        <w:tc>
          <w:tcPr>
            <w:tcW w:w="2240" w:type="dxa"/>
          </w:tcPr>
          <w:p w:rsidR="00870B66" w:rsidRDefault="00994185">
            <w:pPr>
              <w:jc w:val="center"/>
              <w:rPr>
                <w:b/>
                <w:u w:val="single"/>
              </w:rPr>
            </w:pPr>
            <w:r>
              <w:rPr>
                <w:b/>
                <w:color w:val="00B050"/>
                <w:u w:val="single"/>
              </w:rPr>
              <w:t>Power of Reading</w:t>
            </w:r>
          </w:p>
          <w:p w:rsidR="00870B66" w:rsidRDefault="00994185">
            <w:pPr>
              <w:jc w:val="center"/>
              <w:rPr>
                <w:i/>
                <w:color w:val="00B050"/>
              </w:rPr>
            </w:pPr>
            <w:proofErr w:type="spellStart"/>
            <w:r>
              <w:rPr>
                <w:i/>
                <w:color w:val="00B050"/>
              </w:rPr>
              <w:t>Floodland</w:t>
            </w:r>
            <w:proofErr w:type="spellEnd"/>
            <w:r>
              <w:rPr>
                <w:i/>
                <w:color w:val="00B050"/>
              </w:rPr>
              <w:t xml:space="preserve"> (fiction)</w:t>
            </w:r>
          </w:p>
          <w:p w:rsidR="00870B66" w:rsidRDefault="00994185">
            <w:pPr>
              <w:jc w:val="center"/>
              <w:rPr>
                <w:i/>
              </w:rPr>
            </w:pPr>
            <w:r>
              <w:rPr>
                <w:i/>
                <w:color w:val="00B050"/>
              </w:rPr>
              <w:t>Writing in character</w:t>
            </w:r>
          </w:p>
        </w:tc>
        <w:tc>
          <w:tcPr>
            <w:tcW w:w="2184" w:type="dxa"/>
          </w:tcPr>
          <w:p w:rsidR="00870B66" w:rsidRDefault="00994185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Fiction</w:t>
            </w:r>
          </w:p>
          <w:p w:rsidR="00870B66" w:rsidRDefault="009941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Film Narrative </w:t>
            </w:r>
          </w:p>
          <w:p w:rsidR="00870B66" w:rsidRDefault="009941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 xml:space="preserve">(The Piano) </w:t>
            </w:r>
          </w:p>
          <w:p w:rsidR="00870B66" w:rsidRDefault="00994185">
            <w:pPr>
              <w:jc w:val="center"/>
              <w:rPr>
                <w:i/>
              </w:rPr>
            </w:pPr>
            <w:r>
              <w:rPr>
                <w:i/>
                <w:color w:val="FF0000"/>
              </w:rPr>
              <w:t>Writing a narrative which includes a flashback</w:t>
            </w:r>
          </w:p>
        </w:tc>
        <w:tc>
          <w:tcPr>
            <w:tcW w:w="2183" w:type="dxa"/>
            <w:gridSpan w:val="2"/>
          </w:tcPr>
          <w:p w:rsidR="00870B66" w:rsidRDefault="00994185">
            <w:pPr>
              <w:jc w:val="center"/>
              <w:rPr>
                <w:b/>
              </w:rPr>
            </w:pPr>
            <w:r>
              <w:rPr>
                <w:b/>
                <w:color w:val="00B050"/>
                <w:u w:val="single"/>
              </w:rPr>
              <w:t>Power of Reading</w:t>
            </w:r>
          </w:p>
          <w:p w:rsidR="00870B66" w:rsidRDefault="00994185">
            <w:pPr>
              <w:jc w:val="center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The Midnight Fox</w:t>
            </w:r>
          </w:p>
          <w:p w:rsidR="00870B66" w:rsidRDefault="00994185">
            <w:pPr>
              <w:jc w:val="center"/>
              <w:rPr>
                <w:i/>
                <w:color w:val="00B050"/>
              </w:rPr>
            </w:pPr>
            <w:r>
              <w:rPr>
                <w:i/>
                <w:color w:val="00B050"/>
              </w:rPr>
              <w:t>Persuasive letter</w:t>
            </w:r>
          </w:p>
          <w:p w:rsidR="00870B66" w:rsidRDefault="00994185">
            <w:pPr>
              <w:jc w:val="center"/>
              <w:rPr>
                <w:b/>
                <w:color w:val="00B050"/>
                <w:u w:val="single"/>
              </w:rPr>
            </w:pPr>
            <w:r>
              <w:rPr>
                <w:i/>
                <w:color w:val="00B050"/>
              </w:rPr>
              <w:t>Writing in character</w:t>
            </w:r>
          </w:p>
          <w:p w:rsidR="00870B66" w:rsidRDefault="00870B66" w:rsidP="00ED01CE">
            <w:pPr>
              <w:rPr>
                <w:i/>
              </w:rPr>
            </w:pP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color w:val="FFC000"/>
                <w:u w:val="single"/>
              </w:rPr>
            </w:pPr>
            <w:r>
              <w:rPr>
                <w:b/>
                <w:color w:val="FFC000"/>
                <w:u w:val="single"/>
              </w:rPr>
              <w:t>Narrative Poetry</w:t>
            </w:r>
          </w:p>
          <w:p w:rsidR="00870B66" w:rsidRDefault="00994185">
            <w:pPr>
              <w:jc w:val="center"/>
              <w:rPr>
                <w:i/>
                <w:color w:val="FFC000"/>
              </w:rPr>
            </w:pPr>
            <w:r>
              <w:rPr>
                <w:i/>
                <w:color w:val="FFC000"/>
              </w:rPr>
              <w:t>The Highwayman</w:t>
            </w:r>
          </w:p>
          <w:p w:rsidR="00870B66" w:rsidRPr="00ED01CE" w:rsidRDefault="00994185" w:rsidP="00ED01CE">
            <w:pPr>
              <w:jc w:val="center"/>
              <w:rPr>
                <w:i/>
                <w:color w:val="FFC000"/>
              </w:rPr>
            </w:pPr>
            <w:r>
              <w:rPr>
                <w:i/>
                <w:color w:val="FFC000"/>
              </w:rPr>
              <w:t>Description using imagery</w:t>
            </w:r>
          </w:p>
          <w:p w:rsidR="00870B66" w:rsidRDefault="00870B66">
            <w:pPr>
              <w:jc w:val="center"/>
              <w:rPr>
                <w:i/>
              </w:rPr>
            </w:pP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color w:val="00B050"/>
              </w:rPr>
            </w:pPr>
            <w:r>
              <w:rPr>
                <w:b/>
                <w:color w:val="00B050"/>
                <w:u w:val="single"/>
              </w:rPr>
              <w:t>Power of Reading</w:t>
            </w:r>
          </w:p>
          <w:p w:rsidR="00870B66" w:rsidRDefault="00994185">
            <w:pPr>
              <w:jc w:val="center"/>
              <w:rPr>
                <w:i/>
              </w:rPr>
            </w:pPr>
            <w:r>
              <w:rPr>
                <w:i/>
                <w:color w:val="00B050"/>
              </w:rPr>
              <w:t xml:space="preserve">Tom’s Midnight Garden </w:t>
            </w:r>
          </w:p>
        </w:tc>
      </w:tr>
      <w:tr w:rsidR="00870B66" w:rsidTr="00ED01CE">
        <w:tc>
          <w:tcPr>
            <w:tcW w:w="845" w:type="dxa"/>
            <w:vMerge/>
            <w:vAlign w:val="center"/>
          </w:tcPr>
          <w:p w:rsidR="00870B66" w:rsidRDefault="00870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i/>
              </w:rPr>
            </w:pPr>
          </w:p>
        </w:tc>
        <w:tc>
          <w:tcPr>
            <w:tcW w:w="2127" w:type="dxa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240" w:type="dxa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3" w:type="dxa"/>
            <w:gridSpan w:val="2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2</w:t>
            </w: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Unit 2</w:t>
            </w:r>
          </w:p>
        </w:tc>
      </w:tr>
      <w:tr w:rsidR="00870B66" w:rsidTr="00ED01CE">
        <w:tc>
          <w:tcPr>
            <w:tcW w:w="845" w:type="dxa"/>
            <w:vMerge/>
            <w:vAlign w:val="center"/>
          </w:tcPr>
          <w:p w:rsidR="00870B66" w:rsidRDefault="00870B6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:rsidR="00870B66" w:rsidRDefault="00994185">
            <w:pPr>
              <w:jc w:val="center"/>
              <w:rPr>
                <w:b/>
                <w:color w:val="4472C4"/>
                <w:u w:val="single"/>
              </w:rPr>
            </w:pPr>
            <w:r>
              <w:rPr>
                <w:b/>
                <w:color w:val="4472C4"/>
                <w:u w:val="single"/>
              </w:rPr>
              <w:t>Non-Fiction</w:t>
            </w:r>
          </w:p>
          <w:p w:rsidR="00870B66" w:rsidRDefault="00994185">
            <w:pPr>
              <w:jc w:val="center"/>
              <w:rPr>
                <w:i/>
                <w:color w:val="0070C0"/>
              </w:rPr>
            </w:pPr>
            <w:r>
              <w:rPr>
                <w:i/>
                <w:color w:val="0070C0"/>
              </w:rPr>
              <w:t>Diary entry based on Grace Darling</w:t>
            </w:r>
          </w:p>
          <w:p w:rsidR="00870B66" w:rsidRDefault="00870B66">
            <w:pPr>
              <w:jc w:val="center"/>
              <w:rPr>
                <w:i/>
                <w:color w:val="4472C4"/>
              </w:rPr>
            </w:pPr>
          </w:p>
        </w:tc>
        <w:tc>
          <w:tcPr>
            <w:tcW w:w="2240" w:type="dxa"/>
          </w:tcPr>
          <w:p w:rsidR="00870B66" w:rsidRDefault="00994185">
            <w:pPr>
              <w:jc w:val="center"/>
              <w:rPr>
                <w:b/>
                <w:color w:val="4472C4"/>
                <w:u w:val="single"/>
              </w:rPr>
            </w:pPr>
            <w:r>
              <w:rPr>
                <w:b/>
                <w:color w:val="4472C4"/>
                <w:u w:val="single"/>
              </w:rPr>
              <w:t>Non-Fiction</w:t>
            </w:r>
          </w:p>
          <w:p w:rsidR="00870B66" w:rsidRDefault="00994185">
            <w:pPr>
              <w:jc w:val="center"/>
              <w:rPr>
                <w:b/>
                <w:i/>
              </w:rPr>
            </w:pPr>
            <w:r>
              <w:rPr>
                <w:i/>
                <w:color w:val="4472C4"/>
              </w:rPr>
              <w:t>Discussion text based on an environmental theme</w:t>
            </w:r>
          </w:p>
        </w:tc>
        <w:tc>
          <w:tcPr>
            <w:tcW w:w="2184" w:type="dxa"/>
          </w:tcPr>
          <w:p w:rsidR="00870B66" w:rsidRDefault="00994185">
            <w:pPr>
              <w:jc w:val="center"/>
              <w:rPr>
                <w:b/>
                <w:color w:val="4472C4"/>
                <w:u w:val="single"/>
              </w:rPr>
            </w:pPr>
            <w:r>
              <w:rPr>
                <w:b/>
                <w:color w:val="4472C4"/>
                <w:u w:val="single"/>
              </w:rPr>
              <w:t>Non-Fiction</w:t>
            </w:r>
          </w:p>
          <w:p w:rsidR="00870B66" w:rsidRDefault="00994185">
            <w:pPr>
              <w:jc w:val="center"/>
              <w:rPr>
                <w:b/>
              </w:rPr>
            </w:pPr>
            <w:r>
              <w:rPr>
                <w:i/>
                <w:color w:val="4472C4"/>
              </w:rPr>
              <w:t>Persuasive leaflets</w:t>
            </w:r>
          </w:p>
        </w:tc>
        <w:tc>
          <w:tcPr>
            <w:tcW w:w="2183" w:type="dxa"/>
            <w:gridSpan w:val="2"/>
          </w:tcPr>
          <w:p w:rsidR="00870B66" w:rsidRDefault="00994185">
            <w:pPr>
              <w:jc w:val="center"/>
              <w:rPr>
                <w:b/>
                <w:color w:val="4472C4"/>
                <w:u w:val="single"/>
              </w:rPr>
            </w:pPr>
            <w:r>
              <w:rPr>
                <w:b/>
                <w:color w:val="4472C4"/>
                <w:u w:val="single"/>
              </w:rPr>
              <w:t>Non-Fiction</w:t>
            </w:r>
          </w:p>
          <w:p w:rsidR="00870B66" w:rsidRDefault="00994185">
            <w:pPr>
              <w:jc w:val="center"/>
              <w:rPr>
                <w:i/>
                <w:color w:val="0070C0"/>
                <w:u w:val="single"/>
              </w:rPr>
            </w:pPr>
            <w:r>
              <w:rPr>
                <w:i/>
                <w:color w:val="0070C0"/>
              </w:rPr>
              <w:t>Report – life cycles</w:t>
            </w:r>
          </w:p>
          <w:p w:rsidR="00870B66" w:rsidRDefault="00870B66">
            <w:pPr>
              <w:jc w:val="center"/>
              <w:rPr>
                <w:b/>
              </w:rPr>
            </w:pP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color w:val="FF0000"/>
                <w:u w:val="single"/>
              </w:rPr>
            </w:pPr>
            <w:r>
              <w:rPr>
                <w:b/>
                <w:color w:val="FF0000"/>
                <w:u w:val="single"/>
              </w:rPr>
              <w:t>Fiction</w:t>
            </w:r>
          </w:p>
          <w:p w:rsidR="00870B66" w:rsidRDefault="0099418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Recount based on The Highwayman</w:t>
            </w:r>
          </w:p>
          <w:p w:rsidR="00870B66" w:rsidRDefault="00870B66">
            <w:pPr>
              <w:jc w:val="center"/>
              <w:rPr>
                <w:b/>
              </w:rPr>
            </w:pP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color w:val="FFC000"/>
                <w:u w:val="single"/>
              </w:rPr>
            </w:pPr>
            <w:r>
              <w:rPr>
                <w:b/>
                <w:color w:val="FFC000"/>
                <w:u w:val="single"/>
              </w:rPr>
              <w:t>Poetry</w:t>
            </w:r>
          </w:p>
          <w:p w:rsidR="00870B66" w:rsidRDefault="00994185">
            <w:pPr>
              <w:jc w:val="center"/>
              <w:rPr>
                <w:i/>
                <w:color w:val="FFC000"/>
              </w:rPr>
            </w:pPr>
            <w:r>
              <w:rPr>
                <w:i/>
                <w:color w:val="FFC000"/>
              </w:rPr>
              <w:t>Performance poetry</w:t>
            </w:r>
          </w:p>
          <w:p w:rsidR="00870B66" w:rsidRDefault="00870B66">
            <w:pPr>
              <w:jc w:val="center"/>
              <w:rPr>
                <w:b/>
                <w:color w:val="00B050"/>
                <w:u w:val="single"/>
              </w:rPr>
            </w:pPr>
          </w:p>
          <w:p w:rsidR="00870B66" w:rsidRDefault="00870B66">
            <w:pPr>
              <w:jc w:val="center"/>
              <w:rPr>
                <w:b/>
              </w:rPr>
            </w:pPr>
          </w:p>
        </w:tc>
      </w:tr>
      <w:tr w:rsidR="00870B66" w:rsidTr="00ED01CE">
        <w:tc>
          <w:tcPr>
            <w:tcW w:w="845" w:type="dxa"/>
          </w:tcPr>
          <w:p w:rsidR="00870B66" w:rsidRDefault="00870B66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2127" w:type="dxa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Word</w:t>
            </w:r>
          </w:p>
        </w:tc>
        <w:tc>
          <w:tcPr>
            <w:tcW w:w="2240" w:type="dxa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Sentence</w:t>
            </w:r>
          </w:p>
        </w:tc>
        <w:tc>
          <w:tcPr>
            <w:tcW w:w="4359" w:type="dxa"/>
            <w:gridSpan w:val="2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Text</w:t>
            </w:r>
          </w:p>
        </w:tc>
        <w:tc>
          <w:tcPr>
            <w:tcW w:w="2192" w:type="dxa"/>
            <w:gridSpan w:val="3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Punctuation</w:t>
            </w:r>
          </w:p>
        </w:tc>
        <w:tc>
          <w:tcPr>
            <w:tcW w:w="2184" w:type="dxa"/>
            <w:gridSpan w:val="2"/>
          </w:tcPr>
          <w:p w:rsidR="00870B66" w:rsidRDefault="00994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Terminology</w:t>
            </w:r>
          </w:p>
        </w:tc>
      </w:tr>
      <w:tr w:rsidR="00870B66" w:rsidTr="00ED01CE">
        <w:trPr>
          <w:cantSplit/>
          <w:trHeight w:val="1134"/>
        </w:trPr>
        <w:tc>
          <w:tcPr>
            <w:tcW w:w="845" w:type="dxa"/>
            <w:textDirection w:val="btLr"/>
          </w:tcPr>
          <w:p w:rsidR="00870B66" w:rsidRDefault="00994185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Grammar</w:t>
            </w:r>
          </w:p>
        </w:tc>
        <w:tc>
          <w:tcPr>
            <w:tcW w:w="2127" w:type="dxa"/>
          </w:tcPr>
          <w:p w:rsidR="00870B66" w:rsidRDefault="00994185">
            <w:r>
              <w:t xml:space="preserve">Converting </w:t>
            </w:r>
            <w:r>
              <w:rPr>
                <w:b/>
              </w:rPr>
              <w:t xml:space="preserve">nouns </w:t>
            </w:r>
            <w:r>
              <w:t xml:space="preserve">or </w:t>
            </w:r>
            <w:r>
              <w:rPr>
                <w:b/>
              </w:rPr>
              <w:t>adjectives</w:t>
            </w:r>
            <w:r>
              <w:t xml:space="preserve"> into </w:t>
            </w:r>
            <w:r>
              <w:rPr>
                <w:b/>
              </w:rPr>
              <w:t>verbs</w:t>
            </w:r>
            <w:r>
              <w:t xml:space="preserve"> using </w:t>
            </w:r>
            <w:r>
              <w:rPr>
                <w:b/>
              </w:rPr>
              <w:t>suffixes</w:t>
            </w:r>
            <w:r>
              <w:t xml:space="preserve"> (</w:t>
            </w:r>
            <w:proofErr w:type="spellStart"/>
            <w:r>
              <w:t>eg.</w:t>
            </w:r>
            <w:proofErr w:type="spellEnd"/>
            <w:r>
              <w:t xml:space="preserve"> –</w:t>
            </w:r>
            <w:r>
              <w:rPr>
                <w:i/>
              </w:rPr>
              <w:t>ate; -</w:t>
            </w:r>
            <w:proofErr w:type="spellStart"/>
            <w:r>
              <w:rPr>
                <w:i/>
              </w:rPr>
              <w:t>ise</w:t>
            </w:r>
            <w:proofErr w:type="spellEnd"/>
            <w:r>
              <w:rPr>
                <w:i/>
              </w:rPr>
              <w:t>; -</w:t>
            </w:r>
            <w:proofErr w:type="spellStart"/>
            <w:r>
              <w:rPr>
                <w:i/>
              </w:rPr>
              <w:t>ify</w:t>
            </w:r>
            <w:proofErr w:type="spellEnd"/>
            <w:r>
              <w:t>)</w:t>
            </w:r>
          </w:p>
          <w:p w:rsidR="00870B66" w:rsidRDefault="00994185">
            <w:r>
              <w:rPr>
                <w:b/>
              </w:rPr>
              <w:t>Verb prefixes</w:t>
            </w:r>
            <w:r>
              <w:t xml:space="preserve"> (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>
              <w:rPr>
                <w:i/>
              </w:rPr>
              <w:t xml:space="preserve">dis-, de-, mis-, over- </w:t>
            </w:r>
            <w:r>
              <w:t>and</w:t>
            </w:r>
            <w:r>
              <w:rPr>
                <w:i/>
              </w:rPr>
              <w:t xml:space="preserve"> re-)</w:t>
            </w:r>
          </w:p>
        </w:tc>
        <w:tc>
          <w:tcPr>
            <w:tcW w:w="2240" w:type="dxa"/>
          </w:tcPr>
          <w:p w:rsidR="00870B66" w:rsidRDefault="00994185">
            <w:r>
              <w:rPr>
                <w:b/>
              </w:rPr>
              <w:t>Relative clauses</w:t>
            </w:r>
            <w:r>
              <w:t xml:space="preserve"> beginning with </w:t>
            </w:r>
            <w:r>
              <w:rPr>
                <w:i/>
              </w:rPr>
              <w:t>who, which, where, when, whose, that</w:t>
            </w:r>
            <w:r>
              <w:t>, or an omitted relative pronoun.</w:t>
            </w:r>
          </w:p>
          <w:p w:rsidR="00870B66" w:rsidRDefault="00994185">
            <w:r>
              <w:t xml:space="preserve">Indicating degrees of possibility using </w:t>
            </w:r>
            <w:r>
              <w:rPr>
                <w:b/>
              </w:rPr>
              <w:t>adverbs</w:t>
            </w:r>
            <w:r>
              <w:t xml:space="preserve"> (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>
              <w:rPr>
                <w:i/>
              </w:rPr>
              <w:t>perhaps, surely</w:t>
            </w:r>
            <w:r>
              <w:t xml:space="preserve">) or </w:t>
            </w:r>
            <w:r>
              <w:rPr>
                <w:b/>
              </w:rPr>
              <w:t>modal verbs</w:t>
            </w:r>
            <w:r>
              <w:t xml:space="preserve"> (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>
              <w:rPr>
                <w:i/>
              </w:rPr>
              <w:t>might, should, will, must</w:t>
            </w:r>
            <w:r>
              <w:t>)</w:t>
            </w:r>
          </w:p>
        </w:tc>
        <w:tc>
          <w:tcPr>
            <w:tcW w:w="4374" w:type="dxa"/>
            <w:gridSpan w:val="4"/>
          </w:tcPr>
          <w:p w:rsidR="00870B66" w:rsidRDefault="00994185">
            <w:r>
              <w:t xml:space="preserve">Devices to build </w:t>
            </w:r>
            <w:r>
              <w:rPr>
                <w:b/>
              </w:rPr>
              <w:t>cohesion</w:t>
            </w:r>
            <w:r>
              <w:t xml:space="preserve"> within a paragraph (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>
              <w:rPr>
                <w:i/>
              </w:rPr>
              <w:t>then, after that, this, firstly</w:t>
            </w:r>
            <w:r>
              <w:t>)</w:t>
            </w:r>
          </w:p>
          <w:p w:rsidR="00870B66" w:rsidRDefault="00994185">
            <w:bookmarkStart w:id="1" w:name="_heading=h.gjdgxs" w:colFirst="0" w:colLast="0"/>
            <w:bookmarkEnd w:id="1"/>
            <w:r>
              <w:t xml:space="preserve">Linking ideas across paragraphs using </w:t>
            </w:r>
            <w:r>
              <w:rPr>
                <w:b/>
              </w:rPr>
              <w:t>adverbials</w:t>
            </w:r>
            <w:r>
              <w:t xml:space="preserve"> of </w:t>
            </w:r>
            <w:r>
              <w:rPr>
                <w:b/>
              </w:rPr>
              <w:t>time</w:t>
            </w:r>
            <w:r>
              <w:t xml:space="preserve"> (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>
              <w:rPr>
                <w:i/>
              </w:rPr>
              <w:t>later</w:t>
            </w:r>
            <w:r>
              <w:t xml:space="preserve">), </w:t>
            </w:r>
            <w:r>
              <w:rPr>
                <w:b/>
              </w:rPr>
              <w:t xml:space="preserve">place </w:t>
            </w:r>
            <w:r>
              <w:t>(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>
              <w:rPr>
                <w:i/>
              </w:rPr>
              <w:t>nearby</w:t>
            </w:r>
            <w:r>
              <w:t xml:space="preserve">) and </w:t>
            </w:r>
            <w:r>
              <w:rPr>
                <w:b/>
              </w:rPr>
              <w:t>number</w:t>
            </w:r>
            <w:r>
              <w:t xml:space="preserve"> (</w:t>
            </w:r>
            <w:proofErr w:type="spellStart"/>
            <w:r>
              <w:t>eg.</w:t>
            </w:r>
            <w:proofErr w:type="spellEnd"/>
            <w:r>
              <w:t xml:space="preserve"> </w:t>
            </w:r>
            <w:r>
              <w:rPr>
                <w:i/>
              </w:rPr>
              <w:t>secondly</w:t>
            </w:r>
            <w:r>
              <w:t>) or</w:t>
            </w:r>
            <w:r>
              <w:rPr>
                <w:b/>
              </w:rPr>
              <w:t xml:space="preserve"> tense choices </w:t>
            </w:r>
            <w:r>
              <w:t>(</w:t>
            </w:r>
            <w:proofErr w:type="spellStart"/>
            <w:r>
              <w:t>eg.</w:t>
            </w:r>
            <w:proofErr w:type="spellEnd"/>
            <w:r>
              <w:t xml:space="preserve"> he </w:t>
            </w:r>
            <w:r>
              <w:rPr>
                <w:i/>
              </w:rPr>
              <w:t>had</w:t>
            </w:r>
            <w:r>
              <w:t xml:space="preserve"> seen her before)</w:t>
            </w:r>
          </w:p>
        </w:tc>
        <w:tc>
          <w:tcPr>
            <w:tcW w:w="2183" w:type="dxa"/>
            <w:gridSpan w:val="2"/>
          </w:tcPr>
          <w:p w:rsidR="00870B66" w:rsidRDefault="00994185">
            <w:r>
              <w:t>Brackets, dashes or commas to indicate parenthesis</w:t>
            </w:r>
          </w:p>
          <w:p w:rsidR="00870B66" w:rsidRDefault="00994185">
            <w:r>
              <w:t>Use of commas to clarify meaning or avoid ambiguity</w:t>
            </w:r>
          </w:p>
        </w:tc>
        <w:tc>
          <w:tcPr>
            <w:tcW w:w="2178" w:type="dxa"/>
          </w:tcPr>
          <w:p w:rsidR="00870B66" w:rsidRDefault="00994185">
            <w:r>
              <w:t>Modal verb, relative pronoun,</w:t>
            </w:r>
          </w:p>
          <w:p w:rsidR="00870B66" w:rsidRDefault="00994185">
            <w:r>
              <w:t>relative clause</w:t>
            </w:r>
          </w:p>
          <w:p w:rsidR="00870B66" w:rsidRDefault="00994185">
            <w:r>
              <w:t>parenthesis, bracket, dash, cohesion, ambiguity</w:t>
            </w:r>
          </w:p>
        </w:tc>
      </w:tr>
      <w:tr w:rsidR="00870B66" w:rsidTr="00ED01CE">
        <w:trPr>
          <w:cantSplit/>
          <w:trHeight w:val="1134"/>
        </w:trPr>
        <w:tc>
          <w:tcPr>
            <w:tcW w:w="845" w:type="dxa"/>
            <w:textDirection w:val="btLr"/>
          </w:tcPr>
          <w:p w:rsidR="00870B66" w:rsidRDefault="00994185">
            <w:pPr>
              <w:ind w:left="113" w:right="113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Skills</w:t>
            </w:r>
          </w:p>
        </w:tc>
        <w:tc>
          <w:tcPr>
            <w:tcW w:w="13102" w:type="dxa"/>
            <w:gridSpan w:val="9"/>
          </w:tcPr>
          <w:p w:rsidR="00870B66" w:rsidRDefault="00994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Secure independent use of planning tools</w:t>
            </w:r>
          </w:p>
          <w:p w:rsidR="00870B66" w:rsidRDefault="00994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Plan opening using description / action / dialogue</w:t>
            </w:r>
          </w:p>
          <w:p w:rsidR="00870B66" w:rsidRDefault="00994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</w:pPr>
            <w:r>
              <w:rPr>
                <w:color w:val="000000"/>
              </w:rPr>
              <w:t>Paragraphs: vary conjunctions within paragraphs to build cohesion into a paragraph; use change of place, time and action to link ideas across paragraphs</w:t>
            </w:r>
          </w:p>
          <w:p w:rsidR="00870B66" w:rsidRDefault="0099418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</w:pPr>
            <w:proofErr w:type="gramStart"/>
            <w:r>
              <w:rPr>
                <w:color w:val="000000"/>
              </w:rPr>
              <w:t>5 part</w:t>
            </w:r>
            <w:proofErr w:type="gramEnd"/>
            <w:r>
              <w:rPr>
                <w:color w:val="000000"/>
              </w:rPr>
              <w:t xml:space="preserve"> story: co</w:t>
            </w:r>
            <w:r>
              <w:t>uld</w:t>
            </w:r>
            <w:r>
              <w:rPr>
                <w:color w:val="000000"/>
              </w:rPr>
              <w:t xml:space="preserve"> start at any of the 5 points; may include flashbacks.</w:t>
            </w:r>
          </w:p>
        </w:tc>
      </w:tr>
    </w:tbl>
    <w:p w:rsidR="00870B66" w:rsidRDefault="00870B66">
      <w:pPr>
        <w:rPr>
          <w:b/>
          <w:sz w:val="28"/>
          <w:szCs w:val="28"/>
          <w:u w:val="single"/>
        </w:rPr>
      </w:pPr>
    </w:p>
    <w:sectPr w:rsidR="00870B66">
      <w:pgSz w:w="16838" w:h="11906" w:orient="landscape"/>
      <w:pgMar w:top="851" w:right="1440" w:bottom="851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F6342"/>
    <w:multiLevelType w:val="multilevel"/>
    <w:tmpl w:val="43A0A6F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0B66"/>
    <w:rsid w:val="001E535D"/>
    <w:rsid w:val="00870B66"/>
    <w:rsid w:val="00994185"/>
    <w:rsid w:val="00ED0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B27683"/>
  <w15:docId w15:val="{C1D3A176-5A57-4577-B2A5-A999746CE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991B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254E1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6xg7ifHYceWc7PatKKvspt/dzQ==">CgMxLjAyCGguZ2pkZ3hzOAByITFtYkVhYlBQWnBfam9lLXRuVXBNWFFyT0FZUVd2elhnTw==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Valerie Downes</dc:creator>
  <cp:lastModifiedBy>Sophie Elliott</cp:lastModifiedBy>
  <cp:revision>4</cp:revision>
  <dcterms:created xsi:type="dcterms:W3CDTF">2021-09-16T11:54:00Z</dcterms:created>
  <dcterms:modified xsi:type="dcterms:W3CDTF">2023-09-07T12:19:00Z</dcterms:modified>
</cp:coreProperties>
</file>